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F" w:rsidRDefault="00F3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Государственное автономное учреждение</w:t>
      </w:r>
    </w:p>
    <w:p w:rsidR="00EB10CF" w:rsidRDefault="00F3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социального обслуживания Новосибирской области</w:t>
      </w:r>
    </w:p>
    <w:p w:rsidR="00EB10CF" w:rsidRDefault="00F3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«Социально-реабилитационный центр</w:t>
      </w:r>
    </w:p>
    <w:p w:rsidR="00EB10CF" w:rsidRDefault="00F3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для несовершеннолетних «Снегири»</w:t>
      </w: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F3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Информационно-аналитический отчет</w:t>
      </w:r>
    </w:p>
    <w:p w:rsidR="00EB10CF" w:rsidRDefault="00F3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 деятельности учреждения в 2024 году</w:t>
      </w: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F3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г. Новосибирск 2025</w:t>
      </w:r>
    </w:p>
    <w:p w:rsidR="00EB10CF" w:rsidRDefault="00EB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Государственное автономное учреждение социального обслуживания Новосибирской области «Социально-реабилитационный центр для несовершеннолетних «Снегири» (ГАУСО НСО СРЦН «Снегири») созданное на основании постановления главы администрации Новосибирской области от 27.10.1998 № 659 «О реорганизации областных государственных учреждений социальной защиты несовершеннолетних», является специализированным учреждением для несовершеннолетних, нуждающихся в социальной реабилитации.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от 23.04.2024 № 193-рп Правительства Новосибирский области «О создании государственного автономного учреждения социального обслуживания Новосибирский области «Социально-реабилитационный центр для несовершеннолетних «Снегири» путем изменения типа существующего государственного бюджетного учреждения социального обслуживания Новосибирский области «Социально-реабилитационный центр для несовершеннолетних «Снегири» после замены устава учреждение с 03.06.2024 получило новое наименование, при это государственное задание и функции остались неизменными. Основная функция, по-прежнему, – оказание услуг в целях обеспечения реализации предусмотренных законодательством Российской Федерации полномочий органов государственной власти Новосибирской области в сфере социальной защиты. Потребителями государственных услуг, оказываемых учреждением, являются: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несовершеннолетние в возрасте до 18 лет и их родители (законные представители);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граждане, выразившие желание принять в семью на воспитание ребенка-сироту или ребенка, оставшегося без попечения родителей;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члены кровных и замещающих семей, оказавшиеся в сложной жизненной ситуации или социально-опасном положении;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специалисты, работающие с семьей и детьми;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граждане, желающие стать наставниками для подростков после прохождения ими реабилитации в центре «Снегири».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видами деятельности учреждения является: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предоставление социальных услуг при круглосуточном проживании с включением в разнообразные виды трудовой, спортивной, досуговой и культурной деятельности несовершеннолетним в возрасте до 18 лет, которые по каким-либо причинам не могут временно проживать с родителями (законными представителями);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предоставление социальных услуг в полустационарной форме;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сопровождение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к месту постоянного проживания;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сопровождение кровных семей, психолого-педагогическая работа с ребенком, направленная на преодоление прошлых травм;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организация и проведение культурно-массовых мероприятий, семинаров, конференций, в том числе направленных на повышение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компетенций кровных и замещающих родителей, специалистов, работающих с семьей;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оказание консультативной психологической, педагогической, юридической, социальной и иной помощи членам замещающих семей.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в течение 2024 года функционировали бухгалтерия, хозяйственный отдел и пять отделений: приемно-диагностическое (первичный прием поступающих на реабилитацию несовершеннолетних, оказание медицинской помощи в соответствии с лицензией), два социально-реабилитационных (реабилитация несовершеннолетних), организационно-методическое (участие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полустационарное обслуживание, проведение культурно-массовых и досуговых мероприятий), и социальной поддержки семей и детей (обучение граждан, желающих принять на воспитание ребенка-сироту или оставшегося без попечения родителей, консультирование членов замещающих семей). Основным отличием от других реабилитационных центров оставалась работа с подростками, находящимися в конфликте с законом или имеющих какие-либо зависимости.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задание в течение 2024 года включало в себя: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предоставление социального обслуживания в стационарной форме – 360 несовершеннолетних, прошедших полный (2 месяца) курс социальной реабилитации;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предоставление социального обслуживания в полустационарной форме – 48 семей (144 чел.), получивших услуги в соответствии с условиями договором;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оказание методической помощи – 49 мероприятий методического характера, из которых 46 – проведение семинаров, конференций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3 культурно-массовых мероприятия, к участию в которых привлекаются учреждения, подчиненные министерству труда и социального развития НСО;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подготовка граждан, выразивших желание принять детей-сирот и детей, оставшихся без попечения родителей, на семейные формы устройства – 75 чел., успешно завершивших прохождение специальной подготовки и получивших документ установленного образца;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оказание консультативной, психологической, педагогической, юридической, социальной и иной помощи членам замещающих семей – 2000 консультаций в очной, заочной или письменной форме.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СРЦН «Снегири» с июля функционировало 7 групп круглосуточного пребывания несовершеннолетних: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- 1 группа – смешанная, дошкольники (максимальное наполнение 8 чел.);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- 2 группа – смешанная, средние и старшие школьники (максимальное наполнение 10 чел.);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- 3 группа – девочки 12+, имеющие различные виды зависимостей, в том числе склонные к употреблению ПАВ (максимальное наполнение 6 чел.);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- 4 группа – смешанная, младшие и средние школьники (максимальное наполнение 10 чел.);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- 5 группа – мальчики-подростки, находящиеся в конфликте с законом (максимальное наполнение 8 чел.);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- 6 группа – мальчики 12+, имеющие различные виды зависимостей, в том числе склонные к употреблению ПАВ (максимальное наполнение 8 чел.);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группа приемно-диагностического отделения – смешанная, н/летние в возрасте до 18 лет, поступающие для прохождения реабилитации (максимальное наполнение 10 чел.).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2024 году в учреждение поступило 369 несовершеннолетних, 28 из них помещались повторно;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226 – юноши и мальчики, 143 – девушки и девочки. </w:t>
      </w:r>
      <w:r>
        <w:rPr>
          <w:rFonts w:ascii="Times New Roman" w:eastAsia="Times New Roman" w:hAnsi="Times New Roman" w:cs="Times New Roman"/>
          <w:sz w:val="28"/>
          <w:szCs w:val="28"/>
        </w:rPr>
        <w:t>В сравнении с предыдущими годами (385 в 2022 и 433 в 2023) количество поступлений уменьшилось.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помещения поступило: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- акт отдела полиции – 158 случаев;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ходатайство администрации районов – 14 случаев;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ходатайство органа опеки и попечительства – 60 случаев;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ходатайство КЦСОН – 29 случаев;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личное заявление родителя (законного представителя) – 106 случаев.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ходатайство другого реабилитационного центра – 2 случая.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Произошло снижение помещений несовершеннолетних на основании актов на 26%, по просьбе органов опеки на 41%. В то время как помещение на реабилитацию по заявлению одного из родителей (законных представителей) наоборот выросло на 32%. Это говорит о том, что государственные органы стремятся сократить обращения в реабилитационные центры, в то время как родители по-прежнему хотели бы иметь возможность для оказания им помощи в воспитании детей.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228 несовершеннолетних были доставлены из районов города; 141 проживал на территории Новосибирской области. Семеро н/летних, не являющихся гражданами Российской Федерации, были депортированы на родину (Таджикистан, Казахстан, Узбекистан). Двое сопровождены сотрудниками центра к месту постоянного проживания в город Иркутск, где переданы законным представителям.</w:t>
      </w:r>
    </w:p>
    <w:tbl>
      <w:tblPr>
        <w:tblStyle w:val="a5"/>
        <w:tblW w:w="92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7"/>
        <w:gridCol w:w="709"/>
        <w:gridCol w:w="708"/>
        <w:gridCol w:w="709"/>
        <w:gridCol w:w="2544"/>
        <w:gridCol w:w="696"/>
        <w:gridCol w:w="696"/>
        <w:gridCol w:w="696"/>
      </w:tblGrid>
      <w:tr w:rsidR="00EB10CF">
        <w:trPr>
          <w:trHeight w:val="314"/>
        </w:trPr>
        <w:tc>
          <w:tcPr>
            <w:tcW w:w="250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5FF2CA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AED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AED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AED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5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F2CA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AED"/>
            <w:vAlign w:val="center"/>
          </w:tcPr>
          <w:p w:rsidR="00EB10CF" w:rsidRDefault="00F30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FAED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9FAED"/>
            <w:vAlign w:val="center"/>
          </w:tcPr>
          <w:p w:rsidR="00EB10CF" w:rsidRDefault="00F309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EB10CF">
        <w:trPr>
          <w:trHeight w:val="327"/>
        </w:trPr>
        <w:tc>
          <w:tcPr>
            <w:tcW w:w="25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 Бердск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Новосибирский 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B10CF">
        <w:tc>
          <w:tcPr>
            <w:tcW w:w="25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 Обь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10CF">
        <w:tc>
          <w:tcPr>
            <w:tcW w:w="25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Ордынский район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B10CF">
        <w:tc>
          <w:tcPr>
            <w:tcW w:w="25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10CF">
        <w:trPr>
          <w:trHeight w:val="176"/>
        </w:trPr>
        <w:tc>
          <w:tcPr>
            <w:tcW w:w="25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0CF">
        <w:tc>
          <w:tcPr>
            <w:tcW w:w="25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10CF">
        <w:tc>
          <w:tcPr>
            <w:tcW w:w="25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10CF">
        <w:trPr>
          <w:trHeight w:val="288"/>
        </w:trPr>
        <w:tc>
          <w:tcPr>
            <w:tcW w:w="25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0CF">
        <w:trPr>
          <w:trHeight w:val="304"/>
        </w:trPr>
        <w:tc>
          <w:tcPr>
            <w:tcW w:w="25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0CF">
        <w:trPr>
          <w:trHeight w:val="70"/>
        </w:trPr>
        <w:tc>
          <w:tcPr>
            <w:tcW w:w="250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</w:tr>
    </w:tbl>
    <w:p w:rsidR="00EB10CF" w:rsidRDefault="00F30977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Число поступивших из районов Новосибирской области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районах Новосибирской области наблюдается значительное увеличение числа поступивших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районов, и впервые за последние годы отмечается снижение числа несовершеннолетних, поступивших для прохождения реабилитации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Калининский район стабильно поставляет наибольшее число детей для реабилитации (пусть и вдвое меньше в сравнении с предыдущим годом).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Основная причина – территориально расположение. Заметно снизилось поступление из Ленинского района; увеличилось из Центрального округа.</w:t>
      </w:r>
    </w:p>
    <w:p w:rsidR="00EB10CF" w:rsidRDefault="00F3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155533"/>
            <wp:effectExtent l="0" t="0" r="317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B10CF" w:rsidRDefault="00F309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Территориальная принадлежность поступивших из г. Новосибирск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сравнении с предыдущими годами увеличилось количество детей в возрастной группе от 10 до 14 лет. Число детей подросткового возраста осталось на прежнем уровне. Снизилось количество поступивших в возрасте от 3 до 7 лет.</w:t>
      </w:r>
    </w:p>
    <w:p w:rsidR="00EB10CF" w:rsidRDefault="00F3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07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B10CF" w:rsidRDefault="00F309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3.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Распределение по возрастным категориям поступивших на реабилитацию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80 несовершеннолетних из числа поступивших в течение года проживали в замещающих семьях. 53 из них имели статус оставшихся без попечения родителей, 27 – сироты. Причинами помещения были конфликты и недопонимание в отношениях с принятым на воспитание ребенком, недостаточная педагогическая подготовка замещающих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родителей.,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психологическая неготовность стать родителями, неспособность принять индивидуально-типологические особенности ребенка. В ходе пребывания в учреждении от 25 н/летних отказались их законные представители,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дети были определены в учреждение для детей-сирот и детей, оставшихся без попечения родителей или в другие замещающие семьи.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Чаще стали поступать дети с высоким уровнем тревожности. Основные причины обусловлены изъятием из семьи, неготовностью проживать в СРЦН, страхом неизвестности,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внутриличностными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конфликтами, соматическими нарушениями и нарушением внутрисемейного взаимодействия.</w:t>
      </w:r>
    </w:p>
    <w:tbl>
      <w:tblPr>
        <w:tblStyle w:val="a6"/>
        <w:tblW w:w="93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2"/>
        <w:gridCol w:w="1417"/>
        <w:gridCol w:w="1276"/>
        <w:gridCol w:w="1306"/>
        <w:gridCol w:w="1268"/>
        <w:gridCol w:w="1276"/>
        <w:gridCol w:w="1276"/>
      </w:tblGrid>
      <w:tr w:rsidR="00EB10CF">
        <w:trPr>
          <w:trHeight w:val="334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стресса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2022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2023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2024</w:t>
            </w:r>
          </w:p>
        </w:tc>
      </w:tr>
      <w:tr w:rsidR="00EB10CF">
        <w:trPr>
          <w:trHeight w:val="334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EB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1306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1276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выбытие</w:t>
            </w:r>
          </w:p>
        </w:tc>
      </w:tr>
      <w:tr w:rsidR="00EB10CF">
        <w:trPr>
          <w:trHeight w:val="33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143 (47%)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 (16%)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156 (44%)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 (17%)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162 (46%)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 (15%)</w:t>
            </w:r>
          </w:p>
        </w:tc>
      </w:tr>
      <w:tr w:rsidR="00EB10CF">
        <w:trPr>
          <w:trHeight w:val="33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121 (39%)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187 (16%)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106 (29%)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167 (46%)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117 (33%)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172 (49%)</w:t>
            </w:r>
          </w:p>
        </w:tc>
      </w:tr>
      <w:tr w:rsidR="00EB10CF">
        <w:trPr>
          <w:trHeight w:val="33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 (14%)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 (16%)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 (27%)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131 (36%)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FF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 (27%)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127 (37%)</w:t>
            </w:r>
          </w:p>
        </w:tc>
      </w:tr>
    </w:tbl>
    <w:p w:rsidR="00EB10CF" w:rsidRDefault="00F30977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Уровень тревожности детей на момент поступления и выбытия</w:t>
      </w:r>
    </w:p>
    <w:p w:rsidR="00EB10CF" w:rsidRDefault="00F309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отчетного года поступило 26 несовершеннолетних, состоящих на профилактическом учете в ПДН:</w:t>
      </w:r>
    </w:p>
    <w:tbl>
      <w:tblPr>
        <w:tblStyle w:val="a7"/>
        <w:tblW w:w="9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14"/>
        <w:gridCol w:w="1617"/>
      </w:tblGrid>
      <w:tr w:rsidR="00EB10CF">
        <w:trPr>
          <w:trHeight w:val="591"/>
        </w:trPr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0CF" w:rsidRDefault="00F30977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постановки на учет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0CF" w:rsidRDefault="00F30977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B10CF"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антиобщественный образ жизни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0CF"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совершение административного правонарушения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10CF"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совершение общественно-опасного деяния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0CF"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условной судимости условно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10CF"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под следствием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10CF"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бродяжничество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CF" w:rsidRDefault="00F30977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B10CF" w:rsidRDefault="00F30977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Данные о находившихся на учете в ОВД на момент поступления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работе сотрудников приемно-диагностического отделения дети, поступившие с повышенным уровнем тревожности или с нарушением детско-родительских отношений, становились эмоционально стабильнее, семейные конфликты у многих были улажены. Вследствие этого в отчетном году 29% от общего числа поступивших были возвращены по месту проживания еще до перевода в отделения реабилитации, выбыв в течение двух недель.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284 несовершеннолетних были переведены в отделения социальной реабилитации (96 из которых в отделение № 2, куда помещаются юноши, имеющие какие-либо зависимости или проблемы с законом). 178 после завершения реабилитации вернулись в кровные семьи, 75 – в замещающие, 21 переведены в учреждения для детей сирот и детей, оставшихся без попечения родителей, 10 передан в другие реабилитационные центры. 159 чел. (45%) выбыло в течение 2-х месяцев, 114 чел. (39%) проходили реабилитацию в учреждении с 2-х до 6 мес. Но бывают случаи, когда дети задерживались дольше для решения вопроса их жизнеустройства. Так 11 н/л (4%) проживали от 6 мес. до 1 года, у 6 н/л (2%) срок пребывания был более 1 года.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социальной реабилитации № 2 размещено в здании по улице Аэропорт 12а. Сюда помещаются только мальчики 12+, которые, как правило, уже прошли адаптацию в условиях проживания в центре. Они распределены на две группы, которые тесно взаимодействуют между собой. Остальные проживают в здании по адресу: ул. Курчатова 3/1, где находятся и другие структурные подразделения учреждения.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основном здании в мае открыта группа для девочек-подростков, имеющих разные виды зависимостей.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 конца года реабилитацию в ней прошли 17 человек. Как и для мальчиков,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задачей являлось оказание помощи в выходе из сложившейся ситуации: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занятия с психологом, применение немедикаментозных методов (зарядка, прогулки, соблюдение режима питания, систематические занятия спортом); привитие норм общения с окружающими и предложение форматов установки личностных границ.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здании по улице Курчатова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 осуществляли свои занятия в кабинетах, оснащенных специальным оборудованием: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лекотеке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(развития навыков эмоционально-волевой сферы малышей, стимуляции двигательной активности, коррекции психических состояний, снижение агрессии и тревожности, овладения регулятивным поведением);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сенсорной (снятие мышечного и эмоционального напряжения);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консультационной (индивидуальные занятия с использованием элементов арт-терапии, игровой психотерапии,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песочной психотерапии, способствующих стабилизации психоэмоционального состояния, коррекции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поведения, развитию эмоционально-волевой сферы, познанию личностных особенностей, развитию коммуникации и общению детей со сверстниками и взрослыми людьми;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учебном классе (выполнение домашнего задания, проведение дополнительных образовательных занятий с младшими школьниками);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тренажерном зале (занятия физической культурой, в том числе с использованием спортивных тренажеров);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музыкальном зале (проведение культурно-массовых и досуговых мероприятий, праздников, концертов, танцевальных и вокальных репетиций);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компьютерном и швейном кабинетах, кабинетах социальной адаптации (профессиональное ориентирование, знакомство с основами ручного труда, привитие навыков программирования, раскроя, выполните несложных работ, развитие норм и навыков выполнение бытовых манипуляций, обучение пользования бытовыми кухонными приборами, привитие навыков самообслуживания).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по ул. Аэропорт 12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дополнение к имеющимся помещениям было открыто пять модулей, позволяющих проводить реабилитационные, образовательные, обучающие, профессионально ориентированные занятия в более полном объеме. «Столярное дело» – знакомство с инструментами ручного труда, выполнение работ по дереву, выполнение несложных ремонтных работ; «ЗОЖ» – привитие навыков здорового образа жизни через занятия физкультурной и споротом, знакомство с теорией спортивного движения, предупреждения появления и искоренение вредных привычек; «Кулинария» – обучение навыком ведения домашнего хозяйства, сервировки, стола, приготовления несложных блюд; «Патриотизм и краеведение» – знакомство с историей родного края, традициями народов, населяющих регион и государство в целом, привитие чувство гордости за свою страну, осознание того, что ты – россиянин; «Робототехника» – компьютерное программирование, сборка и настройка несложных роботов, их использование в образовательном процессе.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 общего количества несовершеннолетних норму развития имели 79 человек (2022 – 75, 2023 – 75); задержка развития разной степени выявлена у 99 воспитанников (2022 – 79, 2023 – 103); снижение интеллекта обнаружено у 7 человек (2022 – 3, 2023 – 5). Нарушение в эмоциональной сфере (страхи, повышенный уровень тревожности, эмоциональная неустойчивость, аффективные реакции, истерики) выявлены у 175 воспитанников (2022 – 147, 2023 – 175). Нарушение в поведенческой сфере (агрессия, склонность к побегам) наблюдалось у 97 воспитанников (2022 – 52, 2023 - 93). Проблемы в общении наблюдались у 37 воспитанников (2022 – 18, 2023 – 33). В целом общие тенденции сохраняются.</w:t>
      </w:r>
    </w:p>
    <w:p w:rsidR="00EB10CF" w:rsidRDefault="00F30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2967" cy="3200400"/>
            <wp:effectExtent l="0" t="0" r="1079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10CF" w:rsidRDefault="00F3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Нарушения у воспитанников в общении, эмоциональной и поведенческой сфере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Причинами положительной динамики являлись поддержка со стороны воспитателей, психологов, сверстников; развитие социальных навыков (обучение социальным навыкам, таким как умение выражать свои чувства словами, решать конфликты мирным путем); стабильная и безопасная среда, соблюдение и предсказуемость режима, четкие правила и границы; психологическая помощь (выявление и устранение глубинных причин эмоциональных проблем); физиологические факторы (улучшение физического здоровья, правильное питание, достаточный сон и физическая активность способствуют стабилизации эмоционального фона).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Психологами и социальным педагогами было проведено более 3000 различных мероприятий с (законными представителями) и с несовершеннолетними.</w:t>
      </w:r>
    </w:p>
    <w:tbl>
      <w:tblPr>
        <w:tblStyle w:val="a8"/>
        <w:tblW w:w="94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14"/>
        <w:gridCol w:w="1182"/>
        <w:gridCol w:w="1134"/>
        <w:gridCol w:w="1156"/>
      </w:tblGrid>
      <w:tr w:rsidR="00EB10CF">
        <w:tc>
          <w:tcPr>
            <w:tcW w:w="601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18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EB10CF">
        <w:tc>
          <w:tcPr>
            <w:tcW w:w="6014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EB10CF">
        <w:tc>
          <w:tcPr>
            <w:tcW w:w="6014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11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1871</w:t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2160</w:t>
            </w:r>
          </w:p>
        </w:tc>
      </w:tr>
      <w:tr w:rsidR="00EB10CF">
        <w:tc>
          <w:tcPr>
            <w:tcW w:w="6014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законных представителей</w:t>
            </w:r>
          </w:p>
        </w:tc>
        <w:tc>
          <w:tcPr>
            <w:tcW w:w="11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EB10CF">
        <w:tc>
          <w:tcPr>
            <w:tcW w:w="6014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самовольных уходов</w:t>
            </w:r>
          </w:p>
        </w:tc>
        <w:tc>
          <w:tcPr>
            <w:tcW w:w="11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EB10CF">
        <w:tc>
          <w:tcPr>
            <w:tcW w:w="6014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11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B10CF">
        <w:trPr>
          <w:trHeight w:val="70"/>
        </w:trPr>
        <w:tc>
          <w:tcPr>
            <w:tcW w:w="6014" w:type="dxa"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18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B10CF" w:rsidRDefault="00F3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Проведение психолого-социально-педагогических мероприятий с воспитанниками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окончанию прохождения реабилитации 16 несовершеннолетних было передано под опеку, 7 – в приемные семьи; 18 переведены в центры для детей-сирот и детей, оставшихся без попечения родителей; 2 в лечебно-профилактические учреждения, 26 – в другие учреждения временного пребывания; 1 выпущен по достижению совершеннолетия. Все остальные возвращены кровным родителям или в замещающие семьи, в которых проживали ранее.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поступающих в центр несовершеннолетних одной из актуальнейших проблем остается повышение уровня учебной мотивации и преодоление школьной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Основная причина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– пропуски занятий без уважительной причины, вследствие чего появляется огромные пробелы в знаниях. Причины негативного отношения к школе зачастую связаны с межличностными отношениями с одноклассниками и неадекватными ожиданиями родителей и педагогов.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проживания детей в СРЦН «Снегири» улучшение показателей обучаемости происходит в связи с организацией системного взаимодействия с учителями средних образовательных школ № 8, 31, 77, 173, в которых обучаются воспитанники, работой над изменением мотивации с позиции «хочу» на «могу»; повышения уровня заинтересованного отношения взрослых к успехам детей (доброе слово, похвала, объявление благодарности); помощь со стороны педагогов при выполнении домашних заданий.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Педагогами проводятся комплексные диагностики, по результатам которых составляются индивидуальные программы реабилитации, данные о последовательном выполнении которых заносятся в реабилитационные карты, отражаются в индивидуально-диагностических картах (ИДК). Основными показателями, как и ранее, были определены социальные, трудовые, и физические навыки развития, повышение учебной мотивации.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были зафиксированы следующие результаты: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Социальные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(обучение выстраиванию взаимоотношений с окружающими в зависимости от их социального статуса, нахождению выхода из сложившихся ситуаций; взаимодействию, общению, поддержанию дружеских отношений, пониманию того, как вести себя в окружающем современном мире, объяснение того, как можно привлекать для решения своих задач различные технологии и программы, благодаря чему можно не только получать новые знания, но и применять их на практике).</w:t>
      </w:r>
    </w:p>
    <w:tbl>
      <w:tblPr>
        <w:tblStyle w:val="a9"/>
        <w:tblW w:w="94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8"/>
        <w:gridCol w:w="2536"/>
        <w:gridCol w:w="2394"/>
      </w:tblGrid>
      <w:tr w:rsidR="00EB10CF">
        <w:tc>
          <w:tcPr>
            <w:tcW w:w="4478" w:type="dxa"/>
            <w:tcBorders>
              <w:top w:val="single" w:sz="24" w:space="0" w:color="000000"/>
              <w:left w:val="single" w:sz="24" w:space="0" w:color="000000"/>
            </w:tcBorders>
          </w:tcPr>
          <w:p w:rsidR="00EB10CF" w:rsidRDefault="00EB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24" w:space="0" w:color="000000"/>
            </w:tcBorders>
            <w:shd w:val="clear" w:color="auto" w:fill="DBE6B6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Момент прибытия</w:t>
            </w:r>
          </w:p>
        </w:tc>
        <w:tc>
          <w:tcPr>
            <w:tcW w:w="2394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BE6B6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Момент выбытия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2536" w:type="dxa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2394" w:type="dxa"/>
            <w:tcBorders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536" w:type="dxa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46%</w:t>
            </w:r>
          </w:p>
        </w:tc>
        <w:tc>
          <w:tcPr>
            <w:tcW w:w="2394" w:type="dxa"/>
            <w:tcBorders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51%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  <w:bottom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536" w:type="dxa"/>
            <w:tcBorders>
              <w:bottom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2394" w:type="dxa"/>
            <w:tcBorders>
              <w:bottom w:val="single" w:sz="24" w:space="0" w:color="000000"/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39%</w:t>
            </w:r>
          </w:p>
        </w:tc>
      </w:tr>
    </w:tbl>
    <w:p w:rsidR="00EB10CF" w:rsidRDefault="00F3097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Уровень изменения социальных навыков за период прохождения реабилитации</w:t>
      </w:r>
    </w:p>
    <w:p w:rsidR="00EB10CF" w:rsidRDefault="00F309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Трудовые навыки (приобщение к выполнению посильной помощи при проведении генеральных уборок, субботников как на территории, так и в помещениях учреждения; привлечение к работе на приусадебном участке,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вовлечение в ремонтные работы, в том числе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запущенных в отделение социальной реабилитации № 2 модулей).</w:t>
      </w:r>
    </w:p>
    <w:tbl>
      <w:tblPr>
        <w:tblStyle w:val="aa"/>
        <w:tblW w:w="94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8"/>
        <w:gridCol w:w="2536"/>
        <w:gridCol w:w="2394"/>
      </w:tblGrid>
      <w:tr w:rsidR="00EB10CF">
        <w:tc>
          <w:tcPr>
            <w:tcW w:w="4478" w:type="dxa"/>
            <w:tcBorders>
              <w:top w:val="single" w:sz="24" w:space="0" w:color="000000"/>
              <w:left w:val="single" w:sz="24" w:space="0" w:color="000000"/>
            </w:tcBorders>
          </w:tcPr>
          <w:p w:rsidR="00EB10CF" w:rsidRDefault="00EB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24" w:space="0" w:color="000000"/>
            </w:tcBorders>
            <w:shd w:val="clear" w:color="auto" w:fill="DBE6B6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Момент прибытия</w:t>
            </w:r>
          </w:p>
        </w:tc>
        <w:tc>
          <w:tcPr>
            <w:tcW w:w="2394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BE6B6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Момент выбытия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2536" w:type="dxa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2394" w:type="dxa"/>
            <w:tcBorders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11%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536" w:type="dxa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2394" w:type="dxa"/>
            <w:tcBorders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47%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  <w:bottom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536" w:type="dxa"/>
            <w:tcBorders>
              <w:bottom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12%</w:t>
            </w:r>
          </w:p>
        </w:tc>
        <w:tc>
          <w:tcPr>
            <w:tcW w:w="2394" w:type="dxa"/>
            <w:tcBorders>
              <w:bottom w:val="single" w:sz="24" w:space="0" w:color="000000"/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42%</w:t>
            </w:r>
          </w:p>
        </w:tc>
      </w:tr>
    </w:tbl>
    <w:p w:rsidR="00EB10CF" w:rsidRDefault="00F3097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Уровень изменения трудовых навыков за период прохождения реабилитации</w:t>
      </w:r>
    </w:p>
    <w:p w:rsidR="00EB10CF" w:rsidRDefault="00F309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3. Физические навыки (занятия спортом и физической культурой, участие в спортивных соревнованиях, посещение бассейна, привитие навыков здорового образа жизни, борьба с вредными привычками, посещение матчей профессиональных команд).</w:t>
      </w:r>
    </w:p>
    <w:tbl>
      <w:tblPr>
        <w:tblStyle w:val="ab"/>
        <w:tblW w:w="94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8"/>
        <w:gridCol w:w="2536"/>
        <w:gridCol w:w="2394"/>
      </w:tblGrid>
      <w:tr w:rsidR="00EB10CF">
        <w:tc>
          <w:tcPr>
            <w:tcW w:w="4478" w:type="dxa"/>
            <w:tcBorders>
              <w:top w:val="single" w:sz="24" w:space="0" w:color="000000"/>
              <w:left w:val="single" w:sz="24" w:space="0" w:color="000000"/>
            </w:tcBorders>
          </w:tcPr>
          <w:p w:rsidR="00EB10CF" w:rsidRDefault="00EB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24" w:space="0" w:color="000000"/>
            </w:tcBorders>
            <w:shd w:val="clear" w:color="auto" w:fill="DBE6B6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Момент прибытия</w:t>
            </w:r>
          </w:p>
        </w:tc>
        <w:tc>
          <w:tcPr>
            <w:tcW w:w="2394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BE6B6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Момент выбытия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2536" w:type="dxa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2394" w:type="dxa"/>
            <w:tcBorders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14%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536" w:type="dxa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2394" w:type="dxa"/>
            <w:tcBorders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37%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  <w:bottom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536" w:type="dxa"/>
            <w:tcBorders>
              <w:bottom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9%</w:t>
            </w:r>
          </w:p>
        </w:tc>
        <w:tc>
          <w:tcPr>
            <w:tcW w:w="2394" w:type="dxa"/>
            <w:tcBorders>
              <w:bottom w:val="single" w:sz="24" w:space="0" w:color="000000"/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49%</w:t>
            </w:r>
          </w:p>
        </w:tc>
      </w:tr>
    </w:tbl>
    <w:p w:rsidR="00EB10CF" w:rsidRDefault="00F3097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10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Уровень изменения физических навыков за период прохождения реабилитации</w:t>
      </w:r>
    </w:p>
    <w:p w:rsidR="00EB10CF" w:rsidRDefault="00F309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4. 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чебные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(комплексная работа, направленная на создание условий для получения знаний, создание ситуации успеха, профессиональное ориентирование, стремление увлечь самостоятельным поиском ответов на имеющиеся вопросы).</w:t>
      </w:r>
    </w:p>
    <w:tbl>
      <w:tblPr>
        <w:tblStyle w:val="ac"/>
        <w:tblW w:w="94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8"/>
        <w:gridCol w:w="2536"/>
        <w:gridCol w:w="2394"/>
      </w:tblGrid>
      <w:tr w:rsidR="00EB10CF">
        <w:tc>
          <w:tcPr>
            <w:tcW w:w="4478" w:type="dxa"/>
            <w:tcBorders>
              <w:top w:val="single" w:sz="24" w:space="0" w:color="000000"/>
              <w:left w:val="single" w:sz="24" w:space="0" w:color="000000"/>
            </w:tcBorders>
          </w:tcPr>
          <w:p w:rsidR="00EB10CF" w:rsidRDefault="00EB1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24" w:space="0" w:color="000000"/>
            </w:tcBorders>
            <w:shd w:val="clear" w:color="auto" w:fill="DBE6B6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Момент прибытия</w:t>
            </w:r>
          </w:p>
        </w:tc>
        <w:tc>
          <w:tcPr>
            <w:tcW w:w="2394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BE6B6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Момент выбытия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2536" w:type="dxa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54%</w:t>
            </w:r>
          </w:p>
        </w:tc>
        <w:tc>
          <w:tcPr>
            <w:tcW w:w="2394" w:type="dxa"/>
            <w:tcBorders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17%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536" w:type="dxa"/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2394" w:type="dxa"/>
            <w:tcBorders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47%</w:t>
            </w:r>
          </w:p>
        </w:tc>
      </w:tr>
      <w:tr w:rsidR="00EB10CF">
        <w:tc>
          <w:tcPr>
            <w:tcW w:w="4478" w:type="dxa"/>
            <w:tcBorders>
              <w:left w:val="single" w:sz="24" w:space="0" w:color="000000"/>
              <w:bottom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536" w:type="dxa"/>
            <w:tcBorders>
              <w:bottom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394" w:type="dxa"/>
            <w:tcBorders>
              <w:bottom w:val="single" w:sz="24" w:space="0" w:color="000000"/>
              <w:right w:val="single" w:sz="24" w:space="0" w:color="000000"/>
            </w:tcBorders>
          </w:tcPr>
          <w:p w:rsidR="00EB10CF" w:rsidRDefault="00F3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</w:tr>
    </w:tbl>
    <w:p w:rsidR="00EB10CF" w:rsidRDefault="00F3097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11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Уровень изменения учебных навыков за период прохождения реабилитации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основными направлениями деятельности социального педагога в отношении воспитанников оставалось: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взаимодействие с учебными заведениями, сопровождение процесса получения образования, формирование мотивации и познавательных интересов;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профилактика самовольных уходов и совершения правонарушений;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профориентация, оказание помощи в жизненном самоопределении;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подготовка к действиям в случае попадая в чрезвычайную ситуацию.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учебного процесса осуществлялось посредством формирования навыков взаимодействия с окружающими; сбора и анализа информации, учета и ежедневного контроля посещаемости; организации репетиторства и консультирования, привлечения дополнительных средств на ликвидацию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академических задолженностей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поступивших на реабилитацию учащихся.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снижения случаев самовольных уходов и предупреждения преступлений и правонарушений была разработана программа по их предупреждению, цикл бесед следующей тематики: «Самовольный уход. Последствия», «Что ждет тебя на ночных улицах?», «Твое поведение – твое лицо», «Как не стать жертвой преступления?», «Мир, в котором я живу», «Моя крепость», «Учусь быть взрослым», «Побег в никуда», «Мотивы моего поведения», «Навыки личной безопасности». Для совместной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привлекались сотрудники правоохранительных органов. Основной причиной совершения самовольных уходов оставалось желание вернуться в ту среду проживания и общения, в которой воспитанники находились до попадания в СРЦН «Снегири», встретиться с родственниками и друзьями.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координации работы, направленной на профилактику правонарушений, самовольных уходов, обеспечения мер по защите прав и интересов воспитанников, предупреждения возникновения конфликтных ситуаций в подростковой сфере, формирование основ законопослушного поведения и принятия здорового образа жизни в учреждении активно работал совет профилактики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поведения. В течение года состоялось 27 заседаний, где рассматривали случаи самовольных уходов воспитанников, подводили итоги учебной успеваемости, планировали каникулярную занятость, готовились к организации сдачи экзаменов.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сравнении с предыдущими годами количество самовольных уходов сократилось (против 26 ранее теперь их зарегистрировано 24). Если ранее их совершали 21 воспитанник, то теперь 15.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Помогая с выбором будущей профессии, педагоги регулярно проводили беседы, используя различные методы (для малышей просмотр мультфильмов, для детей старшего возраста – социальных роликов); ролевые игры (прием на работу, собеседование по резюме). Несколько раз на занятия приглашались люди разных профессий, как сотрудники нашего учреждения, так и сторонние граждане.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правильно вести себя в случае попадания в экстремальную ситуацию может спасти жизнь. Зная об этом, ребят постоянно знакомят с правилами дорожного движение, правилами поведения при возникновении угрозы террористического акта, пожарной безопасностью и пр.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межведомственного взаимодействия на договорной основе к реабилитации, в том числе, привлекались: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- отделы полиции «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Заельцовский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» и «Калининский» Управления МВД России по г. Новосибирску (проведение лекций, направленных на разъяснение норм российского законодательства, проведение профилактических бесед);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- ГУФСИН России по Новосибирской области (доведение информации о правовых последствиях употребления наркотических препаратов, организации выездов в учреждения, в которых несовершеннолетние отбывают наказание за совершение преступлений различной тяжести);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МКУ Центр «Родник» (проведение тренингов, направленных на мотивацию к учебной деятельности, профориентацию; профилактических бесед, направленных коррекцию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поведения, на ознакомление с медицинскими аспектами вреда, наносимого организму при употреблении ПАВ);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Центр по профилактике борьбы со СПИД (проведение просветительных лекций и бесед);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Новосибирский областной клинический наркологический диспансер (оказание консультативной специализированной помощи, проведение бесед, кинолекториев);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Управление по контролю за оборотом наркотиков ГУ МВД России по НСО (проведение бесед, организация встреч);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Епархиальный отдел по духовному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окормлению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детей-инвалидов и детей, оставшихся без попечения родителей, РПЦ (проведение бесед о защитниках земли русской, основах культуры и православия, рассказ о традициях и праздниках русской православной церкви).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Отдельно хочется выделить некоторые мероприятия из числа проведенных при поддержке сторонних организаций: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цикл бесед с подростками «Подросток и закон. Виды наказания для несовершеннолетних», направленных на формирование законопослушного поведения, чувства толерантности к сверстникам других национальностей и религиозных конфессий, на профилактику экстремизма в детской и молодежной среде;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цикл бесед о народных традициях, привития гордости за Родину «Патриотизм молодежи – будущее России», «Есть такая профессия: Родину защищать!», «Александр Карелин – российский борец греко-римского стиля, политический деятель, заслуженный мастер спорта, Герой РФ»;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акции: «Письмо солдату», «Я верю», в ходе которых были изготовлены подарочные медальоны для воинов СВО;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акцию «Покормите птиц зимой»: ребята совместно с воспитателями делали кормушки, которые потом развешивали на территориях учреждения;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методический форум «Современные технологии и практики формирования и развития жизненных компетенций у детей, испытывающих трудности в социальной адаптации», в одном из выступлений которого наши специалисты представили мастер-класс «Волшебство в эфире» действующего проекта «Детское радио»;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«Русские богатыри», представленный специалистами детской библиотеки им. Н.В. Гоголя, познакомивший ребят с пришедшими из глубин веков легендами о славянских силачах;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серию деловых игр для подростков, направленных на профилактику деструктивного поведения, организованных фондом социального развития «Полдень». Ребята смогли в игровой форме прочувствовать на себе пагубность зависимостей, а как альтернатива им были представлены для овладения техники совладения со сложными эмоциями.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в учреждении постоянно велась досугово-культурная деятельность. Ежемесячно шли выставки, конкурсы, акции. К наиболее запомнившимся следует отнести: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праздничную программу «Рождественская звезда», почетным гостем которой стала матушка Татьяна, входящая в попечительский совет нашего учреждения;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смотр строя и песни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-баты». Парад принимал ветеран ОМОНа, подполковник А.А. Рожков, кавалер двух Орденов Мужества;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акцию «Окна памяти» в знак солидарности с людьми, чьи родные пострадали при теракте в концертном комплексе «Крокус Сити Холл». Минутой молчания почтили память тех, чья жизнь оборвалась вечером 22 марта;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сбор подарков для бойцов отдельной гвардейской ордена Жукова бригады специального назначения. Вместе с коробками, куда были помещены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 для бритья, перевязочные материалы, чай, кофе, передали видеообращения участникам СВО, открытки с пожеланиями.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поддержку участников специальной военной операции «Мы с вами» в рамках ХII Всероссийской акции «Добровольцы – детям» был смонтирован ролик с добрыми словами для бойцов. Среди ежемесячных выставок следует отметить «Стену памяти», приуроченную к 9 мая, основной задачей которой было привитие гордости за свою страну и народ.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Года семьи в России воспитанники центра активно участвовали в конкурсе «Семья глазами ребенка», приняли участие во всероссийском конкурсе рисунков «Портрет моей семьи», организованном Фондом Андрея Первозванного и АО «Марка», посетили в библиотеке им. Лихачева мастер-класс «Подарок для мамы», приняли участие в празднике благодарности родителям «Спасибо за жизнь».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Проводимые центром при содействии министерства мероприятия имели непосредственное отношение к образу семьи. В дни летних каникул состоялась ставшая уже традиционной интеллектуальная игра «Лента времени». Все ее вопросы так или иначе вращались вокруг темы годы. Несмотря на то, что «Снегири» были и организаторами, и принимающей стороной, победа команде досталась заслуженно в конкурентной борьбе. С сентября по декабрь длился конкурса «Лучший воспитатель года». Основная его сложность для учреждения в том, что необходимо было не только решать вопросы по его организации, но и помогать в подготовке заданий своему конкурсанту. 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мероприятий было направлено на привитие детям любви к чтению.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Ребята приняли участие в мультимедийной викторине и конкурсе сценического мастерства по сказкам Пушкина и в дне поэзии и библиотечных уроках; в выставке рисунков «В волшебной Пушкинской стране» и познавательно-игровой программе «Радуга сказов Бажова»; побывали </w:t>
      </w:r>
      <w:r>
        <w:rPr>
          <w:rFonts w:ascii="Times New Roman" w:eastAsia="Times New Roman" w:hAnsi="Times New Roman" w:cs="Times New Roman"/>
          <w:sz w:val="28"/>
          <w:szCs w:val="28"/>
        </w:rPr>
        <w:t>в литературном круизе «Не прожить на белом свете без любимых книжек детям»; участвовали в благотворительном проекте «Книга для Тёмы», куда подали короткие истории, одна из которых вошла в сборник; участвовали во всероссийском проекте «Человек читающий» и поэтическом поединке «Струна, звучащая стихами» к 210-летию со Дня рождения Михаила Лермонтова; поставили несколько мини спектаклей по мотивам басней Ивана Крылова.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одно новшество года – системное проведение кинолекториев с использованием ресурса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Киноуроки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школах России и мира», направленного на духовно-нравственное и патриотическое воспитание молодежи.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Ежемесячно для воспитанников организовывались мастер-классы по созданию виртуальных открыток, презентаций, по работе в программах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SketchUp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Sweet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3D,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Varwin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Проводились выставки виртуальных открыток,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с использованием VR-шлемов. Ребята приняли участие в работе над проектом «Вечный огонь», создав рисунки в графических редакторах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3D.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задач года стала активизация деятельности в социальных сетях. На конец года открыты странички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-канале», «Одноклассниках»,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С ноября удалось поднять рейтинг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пабликов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1,2 до 5,4 баллов,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что является допустимой нормой, однако работу по улучшению подаваемого материала следует продолжить. С ноября 2024 года заметки размещаются ежедневно, а в каникулы выходят дважды в день. В публикации попадают новости учреждения, советы психологов и юристов, занимательные короткие статьи, фотографии.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 семей, находившихся на полустационарном обслуживании, возросло. В числе получивших 4780 услуг оказалось 48 взрослых и 95 несовершеннолетних.</w:t>
      </w: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387"/>
        <w:gridCol w:w="1134"/>
        <w:gridCol w:w="1134"/>
        <w:gridCol w:w="1128"/>
      </w:tblGrid>
      <w:tr w:rsidR="00EB10CF">
        <w:trPr>
          <w:trHeight w:val="70"/>
        </w:trPr>
        <w:tc>
          <w:tcPr>
            <w:tcW w:w="562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134" w:type="dxa"/>
            <w:shd w:val="clear" w:color="auto" w:fill="C9FAFC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shd w:val="clear" w:color="auto" w:fill="C9FAFC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28" w:type="dxa"/>
            <w:shd w:val="clear" w:color="auto" w:fill="C9FAFC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B10CF">
        <w:tc>
          <w:tcPr>
            <w:tcW w:w="562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B10CF" w:rsidRDefault="00F30977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1134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1134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1175</w:t>
            </w:r>
          </w:p>
        </w:tc>
        <w:tc>
          <w:tcPr>
            <w:tcW w:w="1128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1845</w:t>
            </w:r>
          </w:p>
        </w:tc>
      </w:tr>
      <w:tr w:rsidR="00EB10CF">
        <w:tc>
          <w:tcPr>
            <w:tcW w:w="562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EB10CF" w:rsidRDefault="00F30977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1134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1407</w:t>
            </w:r>
          </w:p>
        </w:tc>
        <w:tc>
          <w:tcPr>
            <w:tcW w:w="1134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1329</w:t>
            </w:r>
          </w:p>
        </w:tc>
        <w:tc>
          <w:tcPr>
            <w:tcW w:w="1128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2092</w:t>
            </w:r>
          </w:p>
        </w:tc>
      </w:tr>
      <w:tr w:rsidR="00EB10CF">
        <w:trPr>
          <w:trHeight w:val="70"/>
        </w:trPr>
        <w:tc>
          <w:tcPr>
            <w:tcW w:w="562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EB10CF" w:rsidRDefault="00F30977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социально-бытовые</w:t>
            </w:r>
          </w:p>
        </w:tc>
        <w:tc>
          <w:tcPr>
            <w:tcW w:w="1134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28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EB10CF">
        <w:tc>
          <w:tcPr>
            <w:tcW w:w="562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EB10CF" w:rsidRDefault="00F30977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социально-правовые</w:t>
            </w:r>
          </w:p>
        </w:tc>
        <w:tc>
          <w:tcPr>
            <w:tcW w:w="1134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134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1128" w:type="dxa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EB10CF">
        <w:trPr>
          <w:trHeight w:val="70"/>
        </w:trPr>
        <w:tc>
          <w:tcPr>
            <w:tcW w:w="5949" w:type="dxa"/>
            <w:gridSpan w:val="2"/>
          </w:tcPr>
          <w:p w:rsidR="00EB10CF" w:rsidRDefault="00F30977">
            <w:pPr>
              <w:spacing w:after="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E4F4DF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1134" w:type="dxa"/>
            <w:shd w:val="clear" w:color="auto" w:fill="E4F4DF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3061</w:t>
            </w:r>
          </w:p>
        </w:tc>
        <w:tc>
          <w:tcPr>
            <w:tcW w:w="1128" w:type="dxa"/>
            <w:shd w:val="clear" w:color="auto" w:fill="E4F4DF"/>
          </w:tcPr>
          <w:p w:rsidR="00EB10CF" w:rsidRDefault="00F3097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4780</w:t>
            </w:r>
          </w:p>
        </w:tc>
      </w:tr>
    </w:tbl>
    <w:p w:rsidR="00EB10CF" w:rsidRDefault="00F3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Количество услуг, оказанных в рамках полустационарного сопровождения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выстраивания индивидуальной работы с каждой семьей проводится диагностика психологом, логопедом, социальным работником, направленная на выявление особенностей семейной системы, эмоционального состояния родителя и ребенка, выявления навыков развития.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 xml:space="preserve">Опираясь на полученные за 2022-2024 годы данные, можно сделать вывод, что увеличилось число семей, нуждающихся в получении психологической помощи.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психологов с родителями на первый план выступает повышение родительских компетенций, поиск внутренних резервов семьи. Востребованным остается устранение недопонимания во взаимоотношениях родителей с детьми. В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несовершеннолетними основной проблемой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остается коррекция поведения и стабилизация эмоционального состояния. Важное место занимает коррекционно-логопедическая деятельность.</w:t>
      </w:r>
    </w:p>
    <w:tbl>
      <w:tblPr>
        <w:tblStyle w:val="ae"/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134"/>
        <w:gridCol w:w="1134"/>
        <w:gridCol w:w="1134"/>
        <w:gridCol w:w="992"/>
        <w:gridCol w:w="993"/>
        <w:gridCol w:w="986"/>
      </w:tblGrid>
      <w:tr w:rsidR="00EB10CF">
        <w:trPr>
          <w:trHeight w:val="70"/>
        </w:trPr>
        <w:tc>
          <w:tcPr>
            <w:tcW w:w="297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FF9"/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212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FF9"/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97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BEFF9"/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EB10CF">
        <w:trPr>
          <w:trHeight w:val="70"/>
        </w:trPr>
        <w:tc>
          <w:tcPr>
            <w:tcW w:w="2977" w:type="dxa"/>
            <w:vMerge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EB10CF" w:rsidRDefault="00EB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DF2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C2E8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DF2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C2E8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DF2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76C2E8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2с</w:t>
            </w:r>
          </w:p>
        </w:tc>
      </w:tr>
      <w:tr w:rsidR="00EB10CF">
        <w:trPr>
          <w:trHeight w:val="476"/>
        </w:trPr>
        <w:tc>
          <w:tcPr>
            <w:tcW w:w="29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EB10CF">
        <w:trPr>
          <w:trHeight w:val="476"/>
        </w:trPr>
        <w:tc>
          <w:tcPr>
            <w:tcW w:w="29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фонематический слух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EB10CF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слоговая структура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EB10CF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звуковой 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EB10CF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 запас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EB10CF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грамматический строй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EB10CF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EB10CF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EB10CF">
        <w:trPr>
          <w:trHeight w:val="492"/>
        </w:trPr>
        <w:tc>
          <w:tcPr>
            <w:tcW w:w="297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EB10CF" w:rsidRDefault="00F309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13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 логопедической деятельности на полустационаре,</w:t>
      </w:r>
    </w:p>
    <w:p w:rsidR="00EB10CF" w:rsidRDefault="00F309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где 1 частично достигнуто, 2 достигнуто полностью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Улучшение показателей произошло за счет повышения взаимодействия и ответственности родителей.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В рамках реализации проекта «</w:t>
      </w:r>
      <w:r>
        <w:rPr>
          <w:rFonts w:ascii="Times New Roman" w:eastAsia="Times New Roman" w:hAnsi="Times New Roman" w:cs="Times New Roman"/>
          <w:sz w:val="28"/>
          <w:szCs w:val="28"/>
        </w:rPr>
        <w:t>Школа принимающих родителей» подготовку прошли 72 человека, выразивших желание принять на воспитание в свою семью ребенка-сироту или оставшегося без попечения родителей. Подготовку на первом (онлайн этапе) прошло рекордное со дня его запуска число слушателей – 2525.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Продолжило деятельность методическое объединение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специалистов ШПР, в каждом из заседаний которого принимало участие 14-15 человек из учреждений, которым переданы полномочия по подготовке граждан, желающих принять в семью ребенка, оставшегося без попечения родителей. Состоялось 6 встреч: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«Социальный портрет детей, нуждающихся в семейном устройстве»;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«Семейное устройство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трудноустраиваемой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категории. Опыт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дома-интерната для детей-инвалидов»;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«Работа с перинатальной утратой» (ведущим выступит перинатальный психолог, практикующий в Санкт-Петербурге);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«Пространство ШПР: как создать доверительные отношения» (ведущий – преподаватель Института развития семейного устройства г. Владивосток);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«Правовые основы деятельности ШПР»;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«Реализация дополнительного модуля «Временное размещение детей в замещающих семьях» в программе ШПР».</w:t>
      </w:r>
    </w:p>
    <w:p w:rsidR="00EB10CF" w:rsidRDefault="00F3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за счет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учреждением было привлечено свыше пяти миллионов рублей. Проект «Школа осознанного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при этом получил новый виток развития. Технологию, отработанную ранее на протяжении нескольких лет, было решено предложить для использования в сельской местности, и в рамках конкурса БФ Елены и Геннадия Тимченко «Туда, где семья» специалисты неоднократно выезжали в Куйбышевский,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где на малых территориях отрабатывали с представителями местного сообщества этапы внедрения и реализации проекта.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 учреждения в 2024 году включала 160 единиц, среднесписочная численность работников – 91 человек. Наибольший удельный вес среди категорий персонала занимают специалисты (в основном это педагогические работники).</w:t>
      </w:r>
    </w:p>
    <w:tbl>
      <w:tblPr>
        <w:tblStyle w:val="af"/>
        <w:tblW w:w="92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873"/>
        <w:gridCol w:w="1763"/>
        <w:gridCol w:w="1523"/>
        <w:gridCol w:w="1380"/>
        <w:gridCol w:w="1211"/>
      </w:tblGrid>
      <w:tr w:rsidR="00EB10CF">
        <w:trPr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Категории персонала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EB10CF">
        <w:trPr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EB10CF">
        <w:trPr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EB10CF" w:rsidRDefault="00F309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14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Разделение сотрудников по категориям персонала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возраст коллектива на коней года составляет 46,2 года, что говорит о том, что необходим приток молодых кадров.</w:t>
      </w:r>
    </w:p>
    <w:tbl>
      <w:tblPr>
        <w:tblStyle w:val="af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8"/>
        <w:gridCol w:w="1134"/>
        <w:gridCol w:w="1134"/>
        <w:gridCol w:w="1128"/>
      </w:tblGrid>
      <w:tr w:rsidR="00EB10CF">
        <w:tc>
          <w:tcPr>
            <w:tcW w:w="5949" w:type="dxa"/>
            <w:vAlign w:val="center"/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28" w:type="dxa"/>
            <w:vAlign w:val="center"/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EB10CF">
        <w:tc>
          <w:tcPr>
            <w:tcW w:w="5949" w:type="dxa"/>
          </w:tcPr>
          <w:p w:rsidR="00EB10CF" w:rsidRDefault="00F309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128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EB10CF">
        <w:tc>
          <w:tcPr>
            <w:tcW w:w="5949" w:type="dxa"/>
          </w:tcPr>
          <w:p w:rsidR="00EB10CF" w:rsidRDefault="00F309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Принято в течение года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28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EB10CF">
        <w:tc>
          <w:tcPr>
            <w:tcW w:w="5949" w:type="dxa"/>
          </w:tcPr>
          <w:p w:rsidR="00EB10CF" w:rsidRDefault="00F309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Выбыло в течение года. В том числе в связи с:</w:t>
            </w:r>
          </w:p>
          <w:p w:rsidR="00EB10CF" w:rsidRDefault="00F30977">
            <w:pPr>
              <w:ind w:firstLine="5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увольнением по собственному желанию</w:t>
            </w:r>
          </w:p>
          <w:p w:rsidR="00EB10CF" w:rsidRDefault="00F30977">
            <w:pPr>
              <w:ind w:firstLine="5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сокращением численности</w:t>
            </w:r>
          </w:p>
          <w:p w:rsidR="00EB10CF" w:rsidRDefault="00F30977">
            <w:pPr>
              <w:ind w:firstLine="5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истечение срока трудового договора</w:t>
            </w:r>
          </w:p>
          <w:p w:rsidR="00EB10CF" w:rsidRDefault="00F30977">
            <w:pPr>
              <w:ind w:firstLine="5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выходом на пенсию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28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</w:tr>
      <w:tr w:rsidR="00EB10CF">
        <w:tc>
          <w:tcPr>
            <w:tcW w:w="5949" w:type="dxa"/>
          </w:tcPr>
          <w:p w:rsidR="00EB10CF" w:rsidRDefault="00F309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Коэффициент оборота рабочей силы по приему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0,68</w:t>
            </w:r>
          </w:p>
        </w:tc>
        <w:tc>
          <w:tcPr>
            <w:tcW w:w="1128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0,63</w:t>
            </w:r>
          </w:p>
        </w:tc>
      </w:tr>
      <w:tr w:rsidR="00EB10CF">
        <w:tc>
          <w:tcPr>
            <w:tcW w:w="5949" w:type="dxa"/>
          </w:tcPr>
          <w:p w:rsidR="00EB10CF" w:rsidRDefault="00F309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оборота рабочей силы по выбытию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1128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0,57</w:t>
            </w:r>
          </w:p>
        </w:tc>
      </w:tr>
      <w:tr w:rsidR="00EB10CF">
        <w:tc>
          <w:tcPr>
            <w:tcW w:w="5949" w:type="dxa"/>
          </w:tcPr>
          <w:p w:rsidR="00EB10CF" w:rsidRDefault="00F309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замещения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128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EB10CF">
        <w:trPr>
          <w:trHeight w:val="300"/>
        </w:trPr>
        <w:tc>
          <w:tcPr>
            <w:tcW w:w="5949" w:type="dxa"/>
          </w:tcPr>
          <w:p w:rsidR="00EB10CF" w:rsidRDefault="00F309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текучести кадров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0,41</w:t>
            </w:r>
          </w:p>
        </w:tc>
        <w:tc>
          <w:tcPr>
            <w:tcW w:w="1128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0,43</w:t>
            </w:r>
          </w:p>
        </w:tc>
      </w:tr>
      <w:tr w:rsidR="00EB10CF">
        <w:trPr>
          <w:trHeight w:val="330"/>
        </w:trPr>
        <w:tc>
          <w:tcPr>
            <w:tcW w:w="5949" w:type="dxa"/>
          </w:tcPr>
          <w:p w:rsidR="00EB10CF" w:rsidRDefault="00F309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стабильности кадров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1134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0,62</w:t>
            </w:r>
          </w:p>
        </w:tc>
        <w:tc>
          <w:tcPr>
            <w:tcW w:w="1128" w:type="dxa"/>
          </w:tcPr>
          <w:p w:rsidR="00EB10CF" w:rsidRDefault="00F30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</w:tbl>
    <w:p w:rsidR="00EB10CF" w:rsidRDefault="00F309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рис. 15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Система управления персоналом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Рынок труда в стране находится в состоянии крайнего дефицита кадров, что значительно затрудняет поиск сотрудников для закрытия вакантных позиций. В этом году сохранилась практика увольнения с последующим трудоустройством сотрудников пенсионного возраста с целью индексации заработной платы, по этой причине было уволено за год 6 человек (6,6% к среднесписочной численности). В течение отчетного года стабилизировался кадровый состав отделения социальной реабилитации № 2, при этом из старого состава педагогических работников осталось лишь двое. Общая укомплектованность персоналом на конец года составила 80%, основным – 78,2%. Сотрудники, поддерживая профессиональный уровень, принимали участие в работе курсов профессиональной переподготовки.</w:t>
      </w:r>
    </w:p>
    <w:tbl>
      <w:tblPr>
        <w:tblStyle w:val="af1"/>
        <w:tblW w:w="977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276"/>
        <w:gridCol w:w="1134"/>
        <w:gridCol w:w="1134"/>
      </w:tblGrid>
      <w:tr w:rsidR="00EB10CF">
        <w:tc>
          <w:tcPr>
            <w:tcW w:w="6232" w:type="dxa"/>
            <w:tcBorders>
              <w:top w:val="single" w:sz="6" w:space="0" w:color="000000"/>
              <w:left w:val="single" w:sz="6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EB10CF" w:rsidRDefault="00F30977">
            <w:pPr>
              <w:spacing w:before="60" w:after="60"/>
              <w:ind w:hanging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:rsidR="00EB10CF" w:rsidRDefault="00F3097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EB10CF">
        <w:trPr>
          <w:trHeight w:val="80"/>
        </w:trPr>
        <w:tc>
          <w:tcPr>
            <w:tcW w:w="6232" w:type="dxa"/>
            <w:tcBorders>
              <w:left w:val="single" w:sz="6" w:space="0" w:color="000000"/>
            </w:tcBorders>
          </w:tcPr>
          <w:p w:rsidR="00EB10CF" w:rsidRDefault="00F309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работников, прошедших повышение квалификации, проф. обучение (переподготовку), чел.</w:t>
            </w:r>
          </w:p>
        </w:tc>
        <w:tc>
          <w:tcPr>
            <w:tcW w:w="1276" w:type="dxa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EB10CF">
        <w:tc>
          <w:tcPr>
            <w:tcW w:w="6232" w:type="dxa"/>
            <w:tcBorders>
              <w:left w:val="single" w:sz="6" w:space="0" w:color="000000"/>
              <w:bottom w:val="single" w:sz="6" w:space="0" w:color="000000"/>
            </w:tcBorders>
          </w:tcPr>
          <w:p w:rsidR="00EB10CF" w:rsidRDefault="00F309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к ср. списочной численности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27,8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B10CF" w:rsidRDefault="00F309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</w:tr>
    </w:tbl>
    <w:p w:rsidR="00EB10CF" w:rsidRDefault="00F30977">
      <w:pPr>
        <w:shd w:val="clear" w:color="auto" w:fill="FFFFFF"/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рис. 16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Повышение компетенций специалистов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добросовестный труд в 2024 году были отмечены: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благодарственным письмом губернатора – Царев А.А., воспитатель;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благодарственным письмом Совета Федерации РФ – Стахович А.П., заместитель директора.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благодарственным письмом министерства труда и социального развития 4 чел. (Новикова И.Г., заведующая отделения, Царев А.А., воспитатель,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А.Н., педагог-психолог; Петрова Н.Г., помощник воспитателя).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 Царев А.А. награждался дважды.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 Государственное задание СРЦН «Снегири» было выполнено на 99,6%, при этом в одном случае в связи с недостаточной комплектацией стационарного отделения поступающими на реабилитацию воспитанниками, многократными помещениями в лечебные учреждения и длительным карантином по ветряной оспе, начавшемся еще в середине октября, было допущено незначительное отклонение от допустимого в 5% по основному показателю. В целом ситуация на 31.12 следующая: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 показателю «предоставление социального обслуживания в стационарной форме» при плане в 360 несовершеннолетних, получавших реабилитационные услуги (из наличия 60 мест), выполнение – 341,1 чел., что составило 94,76%;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по показателю «предоставление социального обслуживания в полустационарной форме» при плане 48 семей (144 чел.), получивших услуги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договором в течение полугода (по 24 семьи каждое полугодие), выполнение – 48 семья, что составило 100%;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 показателю «оказание методической помощи» при плане 49 мероприятий методического характера выполнение – 51 мероприятие, что составило 104,1%;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по показателю «подготовка граждан, выразивших желание принять детей-сирот и детей, оставшихся без попечения родителей, на семейные формы устройства» при плане 75 чел. выполнение – 72 чел., что составило 96,0%;</w:t>
      </w:r>
    </w:p>
    <w:p w:rsidR="00EB10CF" w:rsidRDefault="00F30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- по показателю «оказание консультативной, психологической, педагогической, юридической, социальной и иной помощи» при плане 2000 консультаций выполнение 2098, что составило 104,9%.</w:t>
      </w:r>
    </w:p>
    <w:p w:rsidR="00F30977" w:rsidRDefault="00F30977" w:rsidP="00711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0CF" w:rsidRPr="00711155" w:rsidRDefault="00711155" w:rsidP="00711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929550" cy="1033335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_6-2-2025_94132_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153" cy="1035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EB10CF" w:rsidRPr="00711155" w:rsidSect="00711155">
      <w:pgSz w:w="11906" w:h="16838"/>
      <w:pgMar w:top="28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CF"/>
    <w:rsid w:val="00711155"/>
    <w:rsid w:val="00EB10CF"/>
    <w:rsid w:val="00F3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4B73E-DAB8-4D19-BD3E-6698BA2E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098256948650647E-2"/>
          <c:y val="4.4247787610619468E-2"/>
          <c:w val="0.92412073490813651"/>
          <c:h val="0.688891532063023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5DE-4EDA-BDE7-45C0F4D94B79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5DE-4EDA-BDE7-45C0F4D94B79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5DE-4EDA-BDE7-45C0F4D94B79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85DE-4EDA-BDE7-45C0F4D94B79}"/>
              </c:ext>
            </c:extLst>
          </c:dPt>
          <c:dLbls>
            <c:dLbl>
              <c:idx val="0"/>
              <c:layout>
                <c:manualLayout>
                  <c:x val="8.5470085470085479E-3"/>
                  <c:y val="1.6089859967541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5DE-4EDA-BDE7-45C0F4D94B7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35042735042739E-3"/>
                  <c:y val="1.6089859967541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5DE-4EDA-BDE7-45C0F4D94B7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5470085470085479E-3"/>
                  <c:y val="1.2067394975656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5DE-4EDA-BDE7-45C0F4D94B7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5470085470085479E-3"/>
                  <c:y val="2.0112324959426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5DE-4EDA-BDE7-45C0F4D94B7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82051282051282E-2"/>
                  <c:y val="2.0112324959426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5DE-4EDA-BDE7-45C0F4D94B7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957264957264958E-2"/>
                  <c:y val="2.4134789951312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5DE-4EDA-BDE7-45C0F4D94B7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5470085470084681E-3"/>
                  <c:y val="1.6089859967541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5DE-4EDA-BDE7-45C0F4D94B7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4957264957264958E-2"/>
                  <c:y val="1.6089859967541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5DE-4EDA-BDE7-45C0F4D94B7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0683760683760684E-2"/>
                  <c:y val="1.6089859967541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5DE-4EDA-BDE7-45C0F4D94B7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Калининский</c:v>
                </c:pt>
                <c:pt idx="1">
                  <c:v>Октябрьский</c:v>
                </c:pt>
                <c:pt idx="2">
                  <c:v>Центральный</c:v>
                </c:pt>
                <c:pt idx="3">
                  <c:v>Кировский</c:v>
                </c:pt>
                <c:pt idx="4">
                  <c:v>Ленинский</c:v>
                </c:pt>
                <c:pt idx="5">
                  <c:v>Дзержинский</c:v>
                </c:pt>
                <c:pt idx="6">
                  <c:v>Первомайский</c:v>
                </c:pt>
                <c:pt idx="7">
                  <c:v>Советский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43</c:v>
                </c:pt>
                <c:pt idx="1">
                  <c:v>26</c:v>
                </c:pt>
                <c:pt idx="2">
                  <c:v>41</c:v>
                </c:pt>
                <c:pt idx="3">
                  <c:v>25</c:v>
                </c:pt>
                <c:pt idx="4">
                  <c:v>29</c:v>
                </c:pt>
                <c:pt idx="5">
                  <c:v>25</c:v>
                </c:pt>
                <c:pt idx="6">
                  <c:v>20</c:v>
                </c:pt>
                <c:pt idx="7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85DE-4EDA-BDE7-45C0F4D94B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91130880"/>
        <c:axId val="391124216"/>
        <c:axId val="0"/>
      </c:bar3DChart>
      <c:catAx>
        <c:axId val="391130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124216"/>
        <c:crosses val="autoZero"/>
        <c:auto val="1"/>
        <c:lblAlgn val="ctr"/>
        <c:lblOffset val="100"/>
        <c:noMultiLvlLbl val="0"/>
      </c:catAx>
      <c:valAx>
        <c:axId val="391124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13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возрастная категория поступивших</a:t>
            </a:r>
          </a:p>
        </c:rich>
      </c:tx>
      <c:overlay val="0"/>
      <c:spPr>
        <a:noFill/>
        <a:ln>
          <a:noFill/>
        </a:ln>
        <a:effectLst>
          <a:glow rad="1270000">
            <a:schemeClr val="accent1">
              <a:alpha val="40000"/>
            </a:schemeClr>
          </a:glow>
          <a:outerShdw blurRad="50800" dist="50800" dir="5400000" sx="5000" sy="5000" algn="ctr" rotWithShape="0">
            <a:srgbClr val="000000">
              <a:alpha val="50000"/>
            </a:srgbClr>
          </a:outerShdw>
        </a:effectLst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3 до 7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104</c:v>
                </c:pt>
                <c:pt idx="1">
                  <c:v>127</c:v>
                </c:pt>
                <c:pt idx="2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58-4DBE-8F26-850EB1C1AD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7 до 10</c:v>
                </c:pt>
              </c:strCache>
            </c:strRef>
          </c:tx>
          <c:spPr>
            <a:pattFill prst="ltDnDiag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solidFill>
                <a:schemeClr val="accent5"/>
              </a:solidFill>
            </a:ln>
            <a:effectLst/>
            <a:sp3d>
              <a:contourClr>
                <a:schemeClr val="accent5"/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</c:v>
                </c:pt>
                <c:pt idx="1">
                  <c:v>82</c:v>
                </c:pt>
                <c:pt idx="2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58-4DBE-8F26-850EB1C1AD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14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107</c:v>
                </c:pt>
                <c:pt idx="1">
                  <c:v>77</c:v>
                </c:pt>
                <c:pt idx="2">
                  <c:v>120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58-4DBE-8F26-850EB1C1AD8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14 до 17</c:v>
                </c:pt>
              </c:strCache>
            </c:strRef>
          </c:tx>
          <c:spPr>
            <a:pattFill prst="ltDnDiag">
              <a:fgClr>
                <a:schemeClr val="accent6">
                  <a:lumMod val="60000"/>
                </a:schemeClr>
              </a:fgClr>
              <a:bgClr>
                <a:schemeClr val="accent6">
                  <a:lumMod val="60000"/>
                  <a:lumMod val="20000"/>
                  <a:lumOff val="80000"/>
                </a:schemeClr>
              </a:bgClr>
            </a:pattFill>
            <a:ln>
              <a:solidFill>
                <a:schemeClr val="accent6">
                  <a:lumMod val="60000"/>
                </a:schemeClr>
              </a:solidFill>
            </a:ln>
            <a:effectLst/>
            <a:sp3d>
              <a:contourClr>
                <a:schemeClr val="accent6">
                  <a:lumMod val="60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118</c:v>
                </c:pt>
                <c:pt idx="1">
                  <c:v>147</c:v>
                </c:pt>
                <c:pt idx="2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458-4DBE-8F26-850EB1C1AD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1124608"/>
        <c:axId val="391125392"/>
        <c:axId val="0"/>
      </c:bar3DChart>
      <c:catAx>
        <c:axId val="3911246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125392"/>
        <c:crosses val="autoZero"/>
        <c:auto val="1"/>
        <c:lblAlgn val="ctr"/>
        <c:lblOffset val="100"/>
        <c:noMultiLvlLbl val="0"/>
      </c:catAx>
      <c:valAx>
        <c:axId val="391125392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1246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845709575824593E-2"/>
          <c:y val="0.14801587301587299"/>
          <c:w val="0.90160724985904639"/>
          <c:h val="0.58197069116360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эмоциональной сфере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На момент поступление в ОСР 2022год</c:v>
                </c:pt>
                <c:pt idx="1">
                  <c:v>На момент выбытия 2022 год</c:v>
                </c:pt>
                <c:pt idx="2">
                  <c:v>На момент поступления в ОСР 2023 год</c:v>
                </c:pt>
                <c:pt idx="3">
                  <c:v>На момент выбытия 2023 год</c:v>
                </c:pt>
                <c:pt idx="4">
                  <c:v>На момент поступления в ОСР 2024 год</c:v>
                </c:pt>
                <c:pt idx="5">
                  <c:v>На момент выбытия 2024 год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0.94</c:v>
                </c:pt>
                <c:pt idx="1">
                  <c:v>0.13</c:v>
                </c:pt>
                <c:pt idx="2">
                  <c:v>0.96</c:v>
                </c:pt>
                <c:pt idx="3">
                  <c:v>0.11</c:v>
                </c:pt>
                <c:pt idx="4">
                  <c:v>0.95</c:v>
                </c:pt>
                <c:pt idx="5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27-4426-899B-90DA847781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поведенческой сфере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8410914927768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B27-4426-899B-90DA8477817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5607276618512567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B27-4426-899B-90DA8477817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121455323702513E-2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B27-4426-899B-90DA8477817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07009095773140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B27-4426-899B-90DA8477817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На момент поступление в ОСР 2022год</c:v>
                </c:pt>
                <c:pt idx="1">
                  <c:v>На момент выбытия 2022 год</c:v>
                </c:pt>
                <c:pt idx="2">
                  <c:v>На момент поступления в ОСР 2023 год</c:v>
                </c:pt>
                <c:pt idx="3">
                  <c:v>На момент выбытия 2023 год</c:v>
                </c:pt>
                <c:pt idx="4">
                  <c:v>На момент поступления в ОСР 2024 год</c:v>
                </c:pt>
                <c:pt idx="5">
                  <c:v>На момент выбытия 2024 год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0.33</c:v>
                </c:pt>
                <c:pt idx="1">
                  <c:v>7.0000000000000007E-2</c:v>
                </c:pt>
                <c:pt idx="2">
                  <c:v>0.51</c:v>
                </c:pt>
                <c:pt idx="3">
                  <c:v>7.0000000000000007E-2</c:v>
                </c:pt>
                <c:pt idx="4">
                  <c:v>0.53</c:v>
                </c:pt>
                <c:pt idx="5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B27-4426-899B-90DA847781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общении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8410914927768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B27-4426-899B-90DA8477817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9812734082397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B27-4426-899B-90DA8477817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8410914927768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B27-4426-899B-90DA8477817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8410914927768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B27-4426-899B-90DA8477817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На момент поступление в ОСР 2022год</c:v>
                </c:pt>
                <c:pt idx="1">
                  <c:v>На момент выбытия 2022 год</c:v>
                </c:pt>
                <c:pt idx="2">
                  <c:v>На момент поступления в ОСР 2023 год</c:v>
                </c:pt>
                <c:pt idx="3">
                  <c:v>На момент выбытия 2023 год</c:v>
                </c:pt>
                <c:pt idx="4">
                  <c:v>На момент поступления в ОСР 2024 год</c:v>
                </c:pt>
                <c:pt idx="5">
                  <c:v>На момент выбытия 2024 год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0.11</c:v>
                </c:pt>
                <c:pt idx="1">
                  <c:v>0.05</c:v>
                </c:pt>
                <c:pt idx="2">
                  <c:v>0.18</c:v>
                </c:pt>
                <c:pt idx="3">
                  <c:v>0.02</c:v>
                </c:pt>
                <c:pt idx="4">
                  <c:v>0.2</c:v>
                </c:pt>
                <c:pt idx="5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B27-4426-899B-90DA847781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126176"/>
        <c:axId val="391126568"/>
        <c:axId val="0"/>
      </c:bar3DChart>
      <c:catAx>
        <c:axId val="39112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126568"/>
        <c:crosses val="autoZero"/>
        <c:auto val="1"/>
        <c:lblAlgn val="ctr"/>
        <c:lblOffset val="100"/>
        <c:noMultiLvlLbl val="0"/>
      </c:catAx>
      <c:valAx>
        <c:axId val="391126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12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5704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2025-02-06T02:25:00Z</dcterms:created>
  <dcterms:modified xsi:type="dcterms:W3CDTF">2025-02-06T02:45:00Z</dcterms:modified>
</cp:coreProperties>
</file>